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Республика Дагестан, г. Махачкала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</w:t>
            </w:r>
            <w:r>
              <w:rPr>
                <w:rFonts w:hint="default"/>
                <w:lang w:val="ru-RU"/>
              </w:rPr>
              <w:t xml:space="preserve"> </w:t>
            </w:r>
            <w:r>
              <w:t>202</w:t>
            </w:r>
            <w:r>
              <w:rPr>
                <w:rFonts w:hint="default"/>
                <w:lang w:val="ru-RU"/>
              </w:rPr>
              <w:t xml:space="preserve">6 </w:t>
            </w:r>
            <w:r>
              <w:t>г.</w:t>
            </w:r>
          </w:p>
          <w:p w14:paraId="37C7B5D6">
            <w:pPr>
              <w:wordWrap w:val="0"/>
              <w:contextualSpacing/>
              <w:jc w:val="righ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 </w:t>
            </w:r>
          </w:p>
        </w:tc>
      </w:tr>
    </w:tbl>
    <w:p w14:paraId="1EE41E7C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Магомедовой Муслимат Асхабалиевны</w:t>
      </w:r>
      <w:r>
        <w:rPr>
          <w:rFonts w:hint="default" w:ascii="Times New Roman" w:hAnsi="Times New Roman" w:cs="Times New Roman"/>
          <w:sz w:val="24"/>
          <w:szCs w:val="24"/>
        </w:rPr>
        <w:t xml:space="preserve"> (род. 31.08.1968 в г. Избербаш ДАССР, СНИЛС 134-940-197-62, ИНН 056101563436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</w:rPr>
        <w:t xml:space="preserve"> адрес регистрации по месту жительства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367018, Республика Дагестан, г. Махачкала, пр. Петра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д. 49в, кв. 1</w:t>
      </w:r>
      <w:r>
        <w:rPr>
          <w:rFonts w:hint="default" w:ascii="Times New Roman" w:hAnsi="Times New Roman" w:cs="Times New Roman"/>
          <w:sz w:val="24"/>
          <w:szCs w:val="24"/>
        </w:rPr>
        <w:t>),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Определением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Республики Дагестан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14.12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№А15-2535/2022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20B8BC84">
      <w:pPr>
        <w:pStyle w:val="13"/>
        <w:numPr>
          <w:ilvl w:val="1"/>
          <w:numId w:val="1"/>
        </w:numPr>
        <w:spacing w:before="0" w:after="0"/>
        <w:jc w:val="both"/>
      </w:pPr>
      <w:r>
        <w:t xml:space="preserve">Претендент обязуется перечислить на счет финансового управляющего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</w:p>
    <w:p w14:paraId="1FDCB72F">
      <w:pPr>
        <w:pStyle w:val="13"/>
        <w:spacing w:before="0" w:after="0"/>
        <w:ind w:firstLine="709"/>
        <w:rPr>
          <w:rFonts w:hint="default"/>
          <w:sz w:val="24"/>
          <w:szCs w:val="24"/>
          <w:lang w:val="ru-RU"/>
        </w:rPr>
      </w:pPr>
    </w:p>
    <w:p w14:paraId="2FC75F9C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1 –   земельный участок, местоположение которого установлено относительно ориентира, расположенного в границах участка. Ориентир В направлении запада по автодороге «Серголака Махачкала» после кафе «Майдан». Почтовый адрес ориентира: Республика Дагестан, р-н Серголакинский, с. Серголака. Площадь: 504 кв.м. Вид разрешенного использования: под жилую застройку. Кадастровый номер: 05:16:000001:2749, принадлежащий на праве собственности Магомедову Алишиху Абуллаевичу, являющийся совместно нажитым имуществом супругов.</w:t>
      </w:r>
    </w:p>
    <w:p w14:paraId="03932439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77A1C376">
      <w:pPr>
        <w:pStyle w:val="13"/>
        <w:spacing w:before="0" w:after="0"/>
        <w:ind w:firstLine="709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Лот № 2 - земельный участок, расположенный по адресу: Республика Дагестан, г. Махачкала, мкр ТЗБ, ул. Апрельская 1-я, 1а. Площадь: 500 +/- 8 кв.м. Вид разрешенного использования: для индивидуального жилищного строительства. Кадастровый номер: 05:40:000077:2963, принадлежащий на праве собственности Магомедову Алишиху Абуллаевичу, являющийся совместно нажитым имуществом супругов.</w:t>
      </w:r>
    </w:p>
    <w:p w14:paraId="60AA1BC9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счет Организатора торгов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23.03.2026 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счет Организатора торгов.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A270877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95FBF5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Магомедова Муслимат Асхабалиевна, номер счёта: 0817810650203605185, ФИЛИАЛ "ЦЕНТРАЛЬНЫЙ" ПАО "СОВКОМБАНК", БИК: 045004763, Корреспондентский счёт: 30101810150040000763, ИНН: 4401116480.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DD94B3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41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812F4"/>
    <w:multiLevelType w:val="multilevel"/>
    <w:tmpl w:val="280812F4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F3125C"/>
    <w:rsid w:val="13212838"/>
    <w:rsid w:val="180776A0"/>
    <w:rsid w:val="20BF3DF6"/>
    <w:rsid w:val="3F2A1570"/>
    <w:rsid w:val="539E0FC3"/>
    <w:rsid w:val="5FB9417D"/>
    <w:rsid w:val="6CB00C58"/>
    <w:rsid w:val="77785B15"/>
    <w:rsid w:val="7E4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2026-02-11T03:46:51Z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3E9606FF972A4F409894576338163B2E_12</vt:lpwstr>
  </property>
</Properties>
</file>